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99" w:rsidRPr="00E215B6" w:rsidRDefault="00E75399" w:rsidP="00E75399">
      <w:pPr>
        <w:pStyle w:val="31"/>
        <w:tabs>
          <w:tab w:val="clear" w:pos="1797"/>
        </w:tabs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Ref491698228"/>
      <w:bookmarkStart w:id="1" w:name="_Toc506969282"/>
      <w:r w:rsidRPr="00E215B6">
        <w:rPr>
          <w:rFonts w:ascii="Times New Roman" w:hAnsi="Times New Roman" w:cs="Times New Roman"/>
          <w:sz w:val="28"/>
          <w:szCs w:val="28"/>
        </w:rPr>
        <w:t>Внесение технических изменений в контракт, не требующих отправку в ЕИС</w:t>
      </w:r>
      <w:bookmarkEnd w:id="0"/>
      <w:bookmarkEnd w:id="1"/>
    </w:p>
    <w:p w:rsidR="00E75399" w:rsidRPr="00372AE4" w:rsidRDefault="00E75399" w:rsidP="00E75399">
      <w:pPr>
        <w:ind w:firstLine="426"/>
      </w:pPr>
      <w:r w:rsidRPr="00372AE4">
        <w:t>В Системе предусмотрен механизм изменения данных в сведениях о контракте, не передающихся в ЕИС:</w:t>
      </w:r>
    </w:p>
    <w:p w:rsidR="00E75399" w:rsidRPr="00372AE4" w:rsidRDefault="00E75399" w:rsidP="00E75399">
      <w:pPr>
        <w:pStyle w:val="a"/>
        <w:numPr>
          <w:ilvl w:val="0"/>
          <w:numId w:val="2"/>
        </w:numPr>
        <w:ind w:left="0" w:firstLine="426"/>
      </w:pPr>
      <w:r w:rsidRPr="00372AE4">
        <w:t xml:space="preserve">составные элементы БК, расположенные после первых 20 знаков (КОСГУ, </w:t>
      </w:r>
      <w:proofErr w:type="spellStart"/>
      <w:r w:rsidRPr="00372AE4">
        <w:t>ДопКласс</w:t>
      </w:r>
      <w:proofErr w:type="spellEnd"/>
      <w:r w:rsidRPr="00372AE4">
        <w:t xml:space="preserve">, </w:t>
      </w:r>
      <w:proofErr w:type="spellStart"/>
      <w:r w:rsidRPr="00372AE4">
        <w:t>РегКласс</w:t>
      </w:r>
      <w:proofErr w:type="spellEnd"/>
      <w:r w:rsidRPr="00372AE4">
        <w:t>, Услуга, Цель, Программа);</w:t>
      </w:r>
    </w:p>
    <w:p w:rsidR="00E75399" w:rsidRPr="00372AE4" w:rsidRDefault="00E75399" w:rsidP="00E75399">
      <w:pPr>
        <w:pStyle w:val="a"/>
        <w:numPr>
          <w:ilvl w:val="0"/>
          <w:numId w:val="2"/>
        </w:numPr>
        <w:ind w:left="0" w:firstLine="426"/>
        <w:jc w:val="left"/>
      </w:pPr>
      <w:r w:rsidRPr="00372AE4">
        <w:t>данные поля «Счет получателя».</w:t>
      </w:r>
    </w:p>
    <w:p w:rsidR="00E75399" w:rsidRPr="00372AE4" w:rsidRDefault="00E75399" w:rsidP="00E75399">
      <w:pPr>
        <w:ind w:firstLine="426"/>
      </w:pPr>
      <w:r w:rsidRPr="00372AE4">
        <w:t xml:space="preserve">Для необходимости внесения изменения в вышеописанные поля используется механизм формирования технического изменения к контракту или же перевод в состояние технического изменения ранее опубликованный контракт. Когда контракт </w:t>
      </w:r>
      <w:proofErr w:type="gramStart"/>
      <w:r w:rsidRPr="00372AE4">
        <w:t>находится в режиме технического изменения Система запрещает</w:t>
      </w:r>
      <w:proofErr w:type="gramEnd"/>
      <w:r w:rsidRPr="00372AE4">
        <w:t xml:space="preserve"> вносить изменения, не относящиеся к дополнительным полям БК или к счету получателя.</w:t>
      </w:r>
    </w:p>
    <w:p w:rsidR="00E75399" w:rsidRPr="00372AE4" w:rsidRDefault="00E75399" w:rsidP="00E75399">
      <w:pPr>
        <w:ind w:firstLine="426"/>
      </w:pPr>
      <w:r w:rsidRPr="00372AE4">
        <w:t>Перевод зарегистрированного контракта в режим технического изменения осуществляется по кнопке [</w:t>
      </w:r>
      <w:r w:rsidRPr="00372AE4">
        <w:rPr>
          <w:b/>
        </w:rPr>
        <w:t>Отправить на доработку</w:t>
      </w:r>
      <w:r w:rsidRPr="00372AE4">
        <w:t>] (</w:t>
      </w:r>
      <w:r w:rsidR="00D348E8">
        <w:rPr>
          <w:i/>
        </w:rPr>
        <w:t>Рисунок 1</w:t>
      </w:r>
      <w:r w:rsidRPr="00372AE4">
        <w:t xml:space="preserve">). </w:t>
      </w:r>
    </w:p>
    <w:p w:rsidR="00E75399" w:rsidRPr="00372AE4" w:rsidRDefault="00E75399" w:rsidP="00E75399">
      <w:pPr>
        <w:pStyle w:val="a7"/>
        <w:spacing w:before="120" w:after="120" w:line="240" w:lineRule="auto"/>
        <w:ind w:left="0" w:firstLine="426"/>
        <w:jc w:val="center"/>
        <w:rPr>
          <w:szCs w:val="24"/>
        </w:rPr>
      </w:pPr>
      <w:r w:rsidRPr="00372AE4">
        <w:rPr>
          <w:noProof/>
          <w:szCs w:val="24"/>
          <w:lang w:eastAsia="ru-RU"/>
        </w:rPr>
        <w:drawing>
          <wp:inline distT="0" distB="0" distL="0" distR="0" wp14:anchorId="50B036B1" wp14:editId="132F09D5">
            <wp:extent cx="4171948" cy="1856127"/>
            <wp:effectExtent l="0" t="0" r="635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31" cy="185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99" w:rsidRPr="00372AE4" w:rsidRDefault="00E75399" w:rsidP="00E75399">
      <w:pPr>
        <w:pStyle w:val="a5"/>
        <w:ind w:firstLine="426"/>
        <w:rPr>
          <w:sz w:val="24"/>
          <w:szCs w:val="24"/>
        </w:rPr>
      </w:pPr>
      <w:bookmarkStart w:id="2" w:name="_Ref417554585"/>
      <w:r w:rsidRPr="00372AE4">
        <w:t xml:space="preserve">Рисунок </w:t>
      </w:r>
      <w:bookmarkEnd w:id="2"/>
      <w:r w:rsidR="004F017A">
        <w:t>1</w:t>
      </w:r>
      <w:r w:rsidRPr="00372AE4">
        <w:rPr>
          <w:sz w:val="24"/>
          <w:szCs w:val="24"/>
        </w:rPr>
        <w:t xml:space="preserve">. </w:t>
      </w:r>
      <w:r w:rsidRPr="00372AE4">
        <w:rPr>
          <w:szCs w:val="24"/>
        </w:rPr>
        <w:t>Отправить на доработку</w:t>
      </w:r>
    </w:p>
    <w:p w:rsidR="00E75399" w:rsidRPr="00372AE4" w:rsidRDefault="00E75399" w:rsidP="00E75399">
      <w:pPr>
        <w:ind w:firstLine="426"/>
      </w:pPr>
      <w:r w:rsidRPr="00372AE4">
        <w:t xml:space="preserve">Данной кнопкой следует воспользоваться, если сведения по текущему документу ранее не передавались в базу исполнения бюджета. </w:t>
      </w:r>
    </w:p>
    <w:p w:rsidR="00E75399" w:rsidRPr="00372AE4" w:rsidRDefault="00E75399" w:rsidP="00E75399">
      <w:pPr>
        <w:ind w:firstLine="426"/>
      </w:pPr>
      <w:r w:rsidRPr="00372AE4">
        <w:t>Если же сведения о контракте были переданы в базу исполнения бюджета, то для изменения данных, которые необходимо в дальнейшем отразить в базе исполнения бюджета, следует воспользоваться кнопкой [</w:t>
      </w:r>
      <w:r w:rsidRPr="00372AE4">
        <w:rPr>
          <w:b/>
        </w:rPr>
        <w:t>Сформировать техническое изменение</w:t>
      </w:r>
      <w:r w:rsidRPr="00372AE4">
        <w:t>] (</w:t>
      </w:r>
      <w:r w:rsidR="00D348E8">
        <w:rPr>
          <w:i/>
        </w:rPr>
        <w:t>Рисунок 2</w:t>
      </w:r>
      <w:r w:rsidRPr="00372AE4">
        <w:t>).</w:t>
      </w:r>
    </w:p>
    <w:p w:rsidR="00E75399" w:rsidRPr="00372AE4" w:rsidRDefault="00E75399" w:rsidP="00E75399">
      <w:pPr>
        <w:spacing w:before="120" w:after="120"/>
        <w:ind w:firstLine="426"/>
        <w:jc w:val="center"/>
      </w:pPr>
      <w:r w:rsidRPr="00372AE4">
        <w:rPr>
          <w:noProof/>
        </w:rPr>
        <w:drawing>
          <wp:inline distT="0" distB="0" distL="0" distR="0" wp14:anchorId="0E98E894" wp14:editId="1B1F3216">
            <wp:extent cx="5191125" cy="2094350"/>
            <wp:effectExtent l="0" t="0" r="0" b="127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49" cy="209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99" w:rsidRPr="00372AE4" w:rsidRDefault="00E75399" w:rsidP="00E75399">
      <w:pPr>
        <w:pStyle w:val="a5"/>
        <w:ind w:firstLine="426"/>
      </w:pPr>
      <w:bookmarkStart w:id="3" w:name="_Ref491675445"/>
      <w:r w:rsidRPr="00372AE4">
        <w:t xml:space="preserve">Рисунок </w:t>
      </w:r>
      <w:bookmarkEnd w:id="3"/>
      <w:r w:rsidR="004F017A">
        <w:t>2</w:t>
      </w:r>
      <w:r w:rsidRPr="00372AE4">
        <w:t>. Формирование технического изменения к контракту</w:t>
      </w:r>
    </w:p>
    <w:p w:rsidR="00E75399" w:rsidRPr="00372AE4" w:rsidRDefault="00E75399" w:rsidP="00E75399">
      <w:pPr>
        <w:ind w:firstLine="426"/>
      </w:pPr>
      <w:r w:rsidRPr="00372AE4">
        <w:t>При этом будет сформирования новая редакция контракта с типом «</w:t>
      </w:r>
      <w:r w:rsidRPr="00372AE4">
        <w:rPr>
          <w:b/>
        </w:rPr>
        <w:t>Измененные</w:t>
      </w:r>
      <w:r w:rsidRPr="00372AE4">
        <w:t xml:space="preserve">» и номер изменения будет увеличен на одно значение. Вновь </w:t>
      </w:r>
      <w:r w:rsidRPr="00372AE4">
        <w:lastRenderedPageBreak/>
        <w:t>сформированная редакция к контракту будет доступна для дальнейшего редактирования в папке навигатора «</w:t>
      </w:r>
      <w:r w:rsidRPr="00372AE4">
        <w:rPr>
          <w:b/>
        </w:rPr>
        <w:t>Контракт</w:t>
      </w:r>
      <w:r w:rsidRPr="00372AE4">
        <w:t>» в фильтре «</w:t>
      </w:r>
      <w:r w:rsidRPr="00372AE4">
        <w:rPr>
          <w:b/>
        </w:rPr>
        <w:t>На доработке</w:t>
      </w:r>
      <w:r w:rsidRPr="00372AE4">
        <w:t>» (</w:t>
      </w:r>
      <w:r w:rsidR="00D348E8">
        <w:rPr>
          <w:i/>
        </w:rPr>
        <w:t>Рисунок 3</w:t>
      </w:r>
      <w:r w:rsidRPr="00372AE4">
        <w:t>).</w:t>
      </w:r>
    </w:p>
    <w:p w:rsidR="00E75399" w:rsidRPr="00372AE4" w:rsidRDefault="00E75399" w:rsidP="00E75399">
      <w:pPr>
        <w:ind w:firstLine="426"/>
        <w:jc w:val="center"/>
      </w:pPr>
      <w:r w:rsidRPr="00372AE4">
        <w:rPr>
          <w:noProof/>
        </w:rPr>
        <w:drawing>
          <wp:inline distT="0" distB="0" distL="0" distR="0" wp14:anchorId="16D131F0" wp14:editId="727583A6">
            <wp:extent cx="5679010" cy="2551457"/>
            <wp:effectExtent l="0" t="0" r="0" b="127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066" cy="255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99" w:rsidRPr="00372AE4" w:rsidRDefault="00E75399" w:rsidP="00E75399">
      <w:pPr>
        <w:pStyle w:val="a5"/>
        <w:ind w:firstLine="426"/>
      </w:pPr>
      <w:bookmarkStart w:id="4" w:name="_Ref491680296"/>
      <w:r w:rsidRPr="00372AE4">
        <w:t xml:space="preserve">Рисунок </w:t>
      </w:r>
      <w:bookmarkEnd w:id="4"/>
      <w:r w:rsidR="004F017A">
        <w:t>3</w:t>
      </w:r>
      <w:r w:rsidRPr="00372AE4">
        <w:t>. Список контрактов на доработке в техническом изменении</w:t>
      </w:r>
    </w:p>
    <w:p w:rsidR="00E75399" w:rsidRPr="00372AE4" w:rsidRDefault="00E75399" w:rsidP="00E75399">
      <w:pPr>
        <w:ind w:firstLine="426"/>
      </w:pPr>
      <w:r w:rsidRPr="00372AE4">
        <w:t>В случае</w:t>
      </w:r>
      <w:proofErr w:type="gramStart"/>
      <w:r w:rsidRPr="00372AE4">
        <w:t>,</w:t>
      </w:r>
      <w:proofErr w:type="gramEnd"/>
      <w:r w:rsidRPr="00372AE4">
        <w:t xml:space="preserve"> если необходимо отразить переброску финансирования с одной БК на другую, необходимо открыть форму контракта во вкладке «</w:t>
      </w:r>
      <w:r w:rsidRPr="00372AE4">
        <w:rPr>
          <w:b/>
        </w:rPr>
        <w:t>Раздел 1 (За счет бюджетных средств</w:t>
      </w:r>
      <w:r w:rsidRPr="00372AE4">
        <w:t>» или «</w:t>
      </w:r>
      <w:r w:rsidRPr="00372AE4">
        <w:rPr>
          <w:b/>
        </w:rPr>
        <w:t>Раздел 2 (За счет внебюджетных средств</w:t>
      </w:r>
      <w:r w:rsidRPr="00372AE4">
        <w:t xml:space="preserve">» (в зависимости от того, из каких средств происходит финансирование). Для добавления новой строки БК можно воспользоваться кнопкой </w:t>
      </w:r>
      <w:r w:rsidRPr="00372AE4">
        <w:rPr>
          <w:noProof/>
        </w:rPr>
        <w:drawing>
          <wp:inline distT="0" distB="0" distL="0" distR="0" wp14:anchorId="214871BD" wp14:editId="734031DB">
            <wp:extent cx="200025" cy="190500"/>
            <wp:effectExtent l="0" t="0" r="9525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н_добавит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AE4">
        <w:t xml:space="preserve"> [</w:t>
      </w:r>
      <w:r w:rsidRPr="00372AE4">
        <w:rPr>
          <w:b/>
        </w:rPr>
        <w:t>Добавить строку</w:t>
      </w:r>
      <w:r w:rsidRPr="00372AE4">
        <w:t xml:space="preserve">] (будет добавлена пустая строка) или же кнопкой </w:t>
      </w:r>
      <w:r w:rsidRPr="00372AE4">
        <w:rPr>
          <w:noProof/>
        </w:rPr>
        <w:drawing>
          <wp:inline distT="0" distB="0" distL="0" distR="0" wp14:anchorId="00C5825E" wp14:editId="34270187">
            <wp:extent cx="133369" cy="171474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p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9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AE4">
        <w:t xml:space="preserve"> [</w:t>
      </w:r>
      <w:r w:rsidRPr="00372AE4">
        <w:rPr>
          <w:b/>
        </w:rPr>
        <w:t>Копировать</w:t>
      </w:r>
      <w:r w:rsidRPr="00372AE4">
        <w:t>] (будет создана копия строки, на основе которой было произведено копирование) (</w:t>
      </w:r>
      <w:r w:rsidR="00D348E8">
        <w:rPr>
          <w:i/>
        </w:rPr>
        <w:t>Рисунок 4</w:t>
      </w:r>
      <w:r w:rsidRPr="00372AE4">
        <w:t>).</w:t>
      </w:r>
    </w:p>
    <w:p w:rsidR="00E75399" w:rsidRPr="00372AE4" w:rsidRDefault="00E75399" w:rsidP="00E75399">
      <w:pPr>
        <w:spacing w:before="120" w:after="120"/>
        <w:ind w:firstLine="426"/>
        <w:jc w:val="center"/>
      </w:pPr>
      <w:r w:rsidRPr="00372AE4">
        <w:rPr>
          <w:noProof/>
        </w:rPr>
        <w:drawing>
          <wp:inline distT="0" distB="0" distL="0" distR="0" wp14:anchorId="5772666B" wp14:editId="5ACFFC0F">
            <wp:extent cx="5419725" cy="105324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382" cy="105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99" w:rsidRPr="00372AE4" w:rsidRDefault="00E75399" w:rsidP="00E75399">
      <w:pPr>
        <w:pStyle w:val="a5"/>
        <w:ind w:firstLine="426"/>
      </w:pPr>
      <w:bookmarkStart w:id="5" w:name="_Ref491681337"/>
      <w:r w:rsidRPr="00372AE4">
        <w:t xml:space="preserve">Рисунок </w:t>
      </w:r>
      <w:bookmarkEnd w:id="5"/>
      <w:r w:rsidR="004F017A">
        <w:t>4</w:t>
      </w:r>
      <w:r w:rsidRPr="00372AE4">
        <w:t>. Копирование строки БК</w:t>
      </w:r>
    </w:p>
    <w:p w:rsidR="00E75399" w:rsidRPr="00372AE4" w:rsidRDefault="00E75399" w:rsidP="00E75399">
      <w:pPr>
        <w:ind w:firstLine="426"/>
      </w:pPr>
      <w:proofErr w:type="gramStart"/>
      <w:r w:rsidRPr="00372AE4">
        <w:t>Во вновь скопированной строке БК есть возможность скорректировать БК</w:t>
      </w:r>
      <w:r w:rsidR="000650EC">
        <w:t xml:space="preserve"> (</w:t>
      </w:r>
      <w:r w:rsidR="000650EC" w:rsidRPr="00372AE4">
        <w:t>составные элементы БК, расположенные после первых 20 знаков</w:t>
      </w:r>
      <w:r w:rsidR="000650EC">
        <w:t>)</w:t>
      </w:r>
      <w:r w:rsidRPr="00372AE4">
        <w:t>, выбрать иной счет получателя, а также изменить сумму выплат по новой БК (</w:t>
      </w:r>
      <w:r w:rsidR="00D348E8">
        <w:rPr>
          <w:i/>
        </w:rPr>
        <w:t>Рисунок 5</w:t>
      </w:r>
      <w:r w:rsidRPr="00372AE4">
        <w:t>).</w:t>
      </w:r>
      <w:proofErr w:type="gramEnd"/>
    </w:p>
    <w:p w:rsidR="00E75399" w:rsidRPr="00372AE4" w:rsidRDefault="00E75399" w:rsidP="00E75399">
      <w:pPr>
        <w:spacing w:before="120" w:after="120"/>
        <w:ind w:firstLine="426"/>
        <w:jc w:val="center"/>
      </w:pPr>
      <w:r w:rsidRPr="00372AE4">
        <w:rPr>
          <w:noProof/>
        </w:rPr>
        <w:drawing>
          <wp:inline distT="0" distB="0" distL="0" distR="0" wp14:anchorId="7805C43B" wp14:editId="10460425">
            <wp:extent cx="5753100" cy="1004871"/>
            <wp:effectExtent l="0" t="0" r="0" b="508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027" cy="100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99" w:rsidRPr="00372AE4" w:rsidRDefault="00E75399" w:rsidP="00E75399">
      <w:pPr>
        <w:pStyle w:val="a5"/>
        <w:ind w:firstLine="426"/>
      </w:pPr>
      <w:bookmarkStart w:id="6" w:name="_Ref491681464"/>
      <w:r w:rsidRPr="00372AE4">
        <w:t xml:space="preserve">Рисунок </w:t>
      </w:r>
      <w:bookmarkEnd w:id="6"/>
      <w:r w:rsidR="004F017A">
        <w:t>5</w:t>
      </w:r>
      <w:r w:rsidRPr="00372AE4">
        <w:t>. Переброска средств с одной БК на другую</w:t>
      </w:r>
    </w:p>
    <w:tbl>
      <w:tblPr>
        <w:tblStyle w:val="a4"/>
        <w:tblW w:w="940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8236"/>
      </w:tblGrid>
      <w:tr w:rsidR="00E75399" w:rsidRPr="00372AE4" w:rsidTr="000650EC">
        <w:trPr>
          <w:trHeight w:val="993"/>
        </w:trPr>
        <w:tc>
          <w:tcPr>
            <w:tcW w:w="1164" w:type="dxa"/>
          </w:tcPr>
          <w:p w:rsidR="00E75399" w:rsidRPr="00372AE4" w:rsidRDefault="00E75399" w:rsidP="00D456B7">
            <w:pPr>
              <w:ind w:firstLine="426"/>
              <w:jc w:val="center"/>
              <w:rPr>
                <w:noProof/>
              </w:rPr>
            </w:pPr>
            <w:r w:rsidRPr="00372AE4">
              <w:rPr>
                <w:noProof/>
              </w:rPr>
              <w:drawing>
                <wp:inline distT="0" distB="0" distL="0" distR="0" wp14:anchorId="0EA7FCC6" wp14:editId="5D98F90A">
                  <wp:extent cx="311150" cy="301625"/>
                  <wp:effectExtent l="0" t="0" r="0" b="3175"/>
                  <wp:docPr id="852" name="Рисунок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6" w:type="dxa"/>
            <w:shd w:val="clear" w:color="auto" w:fill="D9D9D9" w:themeFill="background1" w:themeFillShade="D9"/>
          </w:tcPr>
          <w:p w:rsidR="00E75399" w:rsidRPr="00372AE4" w:rsidRDefault="00E75399" w:rsidP="00D456B7">
            <w:pPr>
              <w:ind w:firstLine="426"/>
            </w:pPr>
            <w:proofErr w:type="gramStart"/>
            <w:r w:rsidRPr="00372AE4">
              <w:t xml:space="preserve">Если же выплаты по первоначально запланированной БК не производились и все финансирование предполагается провести с новой БК, то строку с предыдущей БК не надо удалять или затирать, а необходимо его </w:t>
            </w:r>
            <w:r w:rsidRPr="00372AE4">
              <w:lastRenderedPageBreak/>
              <w:t>обнулить и создать новую строку на весь объем финансирования.</w:t>
            </w:r>
            <w:proofErr w:type="gramEnd"/>
            <w:r w:rsidRPr="00372AE4">
              <w:t xml:space="preserve"> </w:t>
            </w:r>
            <w:proofErr w:type="gramStart"/>
            <w:r w:rsidRPr="00372AE4">
              <w:t>На примере же выше показана переброска средств с одной БК на другой с частичным финансированием по предыдущей БК и с оставшимся объемом финансирования по новой БК.</w:t>
            </w:r>
            <w:proofErr w:type="gramEnd"/>
            <w:r w:rsidRPr="00372AE4">
              <w:t xml:space="preserve"> При сохранении контракта Система проверит на неизменность общего объема финансирования, т.к. изменение объема финансирования обязательно необходимо отразить в ЕИС и для этого используется механизм формирования изменения к контракту, но никак не техническое изменение.</w:t>
            </w:r>
          </w:p>
        </w:tc>
      </w:tr>
    </w:tbl>
    <w:p w:rsidR="00E75399" w:rsidRPr="00372AE4" w:rsidRDefault="00E75399" w:rsidP="00E75399">
      <w:pPr>
        <w:ind w:firstLine="426"/>
      </w:pPr>
    </w:p>
    <w:p w:rsidR="00E75399" w:rsidRPr="00372AE4" w:rsidRDefault="00E75399" w:rsidP="00E75399">
      <w:pPr>
        <w:ind w:firstLine="426"/>
      </w:pPr>
      <w:r w:rsidRPr="00372AE4">
        <w:t xml:space="preserve">После внесения необходимых исправлений следует сохранить документ по кнопке </w:t>
      </w:r>
      <w:r w:rsidRPr="00372AE4">
        <w:rPr>
          <w:noProof/>
        </w:rPr>
        <w:drawing>
          <wp:inline distT="0" distB="0" distL="0" distR="0" wp14:anchorId="4DA0C23B" wp14:editId="2B482534">
            <wp:extent cx="152421" cy="161948"/>
            <wp:effectExtent l="0" t="0" r="0" b="9525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av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AE4">
        <w:t xml:space="preserve"> [</w:t>
      </w:r>
      <w:r w:rsidRPr="00372AE4">
        <w:rPr>
          <w:b/>
        </w:rPr>
        <w:t>Сохранить</w:t>
      </w:r>
      <w:r w:rsidRPr="00372AE4">
        <w:t>].</w:t>
      </w:r>
    </w:p>
    <w:p w:rsidR="00E75399" w:rsidRPr="00372AE4" w:rsidRDefault="00E75399" w:rsidP="00E75399">
      <w:pPr>
        <w:ind w:firstLine="426"/>
      </w:pPr>
      <w:r w:rsidRPr="00372AE4">
        <w:t>Для перевода контракта, находящегося в режиме технического изменения, в фильтр «</w:t>
      </w:r>
      <w:r w:rsidRPr="00372AE4">
        <w:rPr>
          <w:b/>
        </w:rPr>
        <w:t>Зарегистрировано</w:t>
      </w:r>
      <w:r w:rsidRPr="00372AE4">
        <w:t>» используется кнопка [</w:t>
      </w:r>
      <w:r w:rsidRPr="00372AE4">
        <w:rPr>
          <w:b/>
        </w:rPr>
        <w:t>Зарегистрировать</w:t>
      </w:r>
      <w:r w:rsidRPr="00372AE4">
        <w:t>] (</w:t>
      </w:r>
      <w:r w:rsidR="00D348E8">
        <w:rPr>
          <w:i/>
        </w:rPr>
        <w:t>Рисунок 6</w:t>
      </w:r>
      <w:bookmarkStart w:id="7" w:name="_GoBack"/>
      <w:bookmarkEnd w:id="7"/>
      <w:r w:rsidRPr="00372AE4">
        <w:t xml:space="preserve">). </w:t>
      </w:r>
    </w:p>
    <w:p w:rsidR="00E75399" w:rsidRPr="00372AE4" w:rsidRDefault="00E75399" w:rsidP="00E75399">
      <w:pPr>
        <w:spacing w:before="120" w:after="120"/>
        <w:ind w:firstLine="426"/>
        <w:jc w:val="center"/>
      </w:pPr>
      <w:r w:rsidRPr="00372AE4">
        <w:rPr>
          <w:noProof/>
        </w:rPr>
        <w:drawing>
          <wp:inline distT="0" distB="0" distL="0" distR="0" wp14:anchorId="09C81895" wp14:editId="5C63B3B1">
            <wp:extent cx="5295900" cy="1828996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182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99" w:rsidRPr="00372AE4" w:rsidRDefault="00E75399" w:rsidP="00E75399">
      <w:pPr>
        <w:pStyle w:val="a5"/>
        <w:ind w:firstLine="426"/>
      </w:pPr>
      <w:bookmarkStart w:id="8" w:name="_Ref417396817"/>
      <w:r w:rsidRPr="00372AE4">
        <w:t xml:space="preserve">Рисунок </w:t>
      </w:r>
      <w:bookmarkEnd w:id="8"/>
      <w:r w:rsidR="004F017A">
        <w:t>6</w:t>
      </w:r>
      <w:r w:rsidRPr="00372AE4">
        <w:t>. Перевод документа «Контракт» в зарегистрированное состояние с доработки</w:t>
      </w:r>
    </w:p>
    <w:p w:rsidR="00E75399" w:rsidRPr="00372AE4" w:rsidRDefault="00E75399" w:rsidP="00E75399">
      <w:pPr>
        <w:ind w:firstLine="426"/>
      </w:pPr>
      <w:r w:rsidRPr="00372AE4">
        <w:t>Данная кнопка перевода в зарегистрированные состояния доступна только в фильтре «</w:t>
      </w:r>
      <w:r w:rsidRPr="00372AE4">
        <w:rPr>
          <w:b/>
        </w:rPr>
        <w:t>На доработке</w:t>
      </w:r>
      <w:r w:rsidRPr="00372AE4">
        <w:t>». Данное изменение после исправления сведений следует отправить в базу исполнения бюджета в качестве следующего изменения к ранее переданному контракту.</w:t>
      </w:r>
    </w:p>
    <w:p w:rsidR="00E75399" w:rsidRDefault="00E75399" w:rsidP="00E75399"/>
    <w:p w:rsidR="00AE6687" w:rsidRDefault="00AE6687"/>
    <w:sectPr w:rsidR="00AE6687" w:rsidSect="000650EC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FDE8B8A"/>
    <w:lvl w:ilvl="0">
      <w:start w:val="1"/>
      <w:numFmt w:val="bullet"/>
      <w:pStyle w:val="a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</w:abstractNum>
  <w:abstractNum w:abstractNumId="1">
    <w:nsid w:val="23720FCC"/>
    <w:multiLevelType w:val="hybridMultilevel"/>
    <w:tmpl w:val="756297FE"/>
    <w:lvl w:ilvl="0" w:tplc="D82E1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99"/>
    <w:rsid w:val="0002455B"/>
    <w:rsid w:val="00035770"/>
    <w:rsid w:val="000650EC"/>
    <w:rsid w:val="0008600A"/>
    <w:rsid w:val="000A417D"/>
    <w:rsid w:val="000A6F14"/>
    <w:rsid w:val="000B0FDC"/>
    <w:rsid w:val="000F48A5"/>
    <w:rsid w:val="00136E41"/>
    <w:rsid w:val="001371FB"/>
    <w:rsid w:val="001666F6"/>
    <w:rsid w:val="001736B7"/>
    <w:rsid w:val="00181BCD"/>
    <w:rsid w:val="00194273"/>
    <w:rsid w:val="00195FD9"/>
    <w:rsid w:val="001C0CDE"/>
    <w:rsid w:val="001D55A2"/>
    <w:rsid w:val="00206A56"/>
    <w:rsid w:val="00210D8C"/>
    <w:rsid w:val="0022238B"/>
    <w:rsid w:val="002A0104"/>
    <w:rsid w:val="002C75FC"/>
    <w:rsid w:val="002D2A12"/>
    <w:rsid w:val="002E3EFE"/>
    <w:rsid w:val="002E7564"/>
    <w:rsid w:val="00360CE1"/>
    <w:rsid w:val="003A1E75"/>
    <w:rsid w:val="003B649B"/>
    <w:rsid w:val="003C5D53"/>
    <w:rsid w:val="003C6A82"/>
    <w:rsid w:val="003E3752"/>
    <w:rsid w:val="004124E5"/>
    <w:rsid w:val="00422AD6"/>
    <w:rsid w:val="00433C4F"/>
    <w:rsid w:val="00442000"/>
    <w:rsid w:val="0049399D"/>
    <w:rsid w:val="004E5C0B"/>
    <w:rsid w:val="004F017A"/>
    <w:rsid w:val="004F0887"/>
    <w:rsid w:val="00540741"/>
    <w:rsid w:val="00541B20"/>
    <w:rsid w:val="00562251"/>
    <w:rsid w:val="00584E07"/>
    <w:rsid w:val="00595DBD"/>
    <w:rsid w:val="00597A3A"/>
    <w:rsid w:val="005A382D"/>
    <w:rsid w:val="005B07CF"/>
    <w:rsid w:val="00620288"/>
    <w:rsid w:val="00623B23"/>
    <w:rsid w:val="0063097C"/>
    <w:rsid w:val="00635920"/>
    <w:rsid w:val="00651F18"/>
    <w:rsid w:val="0065693E"/>
    <w:rsid w:val="0068135C"/>
    <w:rsid w:val="006E49FF"/>
    <w:rsid w:val="007B6033"/>
    <w:rsid w:val="007D299A"/>
    <w:rsid w:val="00833EEA"/>
    <w:rsid w:val="00837379"/>
    <w:rsid w:val="00861586"/>
    <w:rsid w:val="0086439D"/>
    <w:rsid w:val="0088198F"/>
    <w:rsid w:val="008D290C"/>
    <w:rsid w:val="008F3105"/>
    <w:rsid w:val="00900AF2"/>
    <w:rsid w:val="00904397"/>
    <w:rsid w:val="00914126"/>
    <w:rsid w:val="009146AE"/>
    <w:rsid w:val="0092745B"/>
    <w:rsid w:val="0094535F"/>
    <w:rsid w:val="009629E9"/>
    <w:rsid w:val="00981507"/>
    <w:rsid w:val="0098180B"/>
    <w:rsid w:val="009922FA"/>
    <w:rsid w:val="009B2D29"/>
    <w:rsid w:val="009C537A"/>
    <w:rsid w:val="00A250AD"/>
    <w:rsid w:val="00A35F87"/>
    <w:rsid w:val="00A74CEF"/>
    <w:rsid w:val="00A80AE5"/>
    <w:rsid w:val="00A93729"/>
    <w:rsid w:val="00AA7515"/>
    <w:rsid w:val="00AC7239"/>
    <w:rsid w:val="00AE6687"/>
    <w:rsid w:val="00B34B53"/>
    <w:rsid w:val="00B475E5"/>
    <w:rsid w:val="00BB422D"/>
    <w:rsid w:val="00BB5A08"/>
    <w:rsid w:val="00BC0A29"/>
    <w:rsid w:val="00BC362F"/>
    <w:rsid w:val="00C03464"/>
    <w:rsid w:val="00C366AF"/>
    <w:rsid w:val="00C77CB6"/>
    <w:rsid w:val="00CC01F8"/>
    <w:rsid w:val="00CD32D0"/>
    <w:rsid w:val="00CE2602"/>
    <w:rsid w:val="00D11A88"/>
    <w:rsid w:val="00D13EED"/>
    <w:rsid w:val="00D20F31"/>
    <w:rsid w:val="00D348E8"/>
    <w:rsid w:val="00D71117"/>
    <w:rsid w:val="00D72486"/>
    <w:rsid w:val="00DD1D22"/>
    <w:rsid w:val="00E361F7"/>
    <w:rsid w:val="00E75399"/>
    <w:rsid w:val="00E950F0"/>
    <w:rsid w:val="00EE0CFF"/>
    <w:rsid w:val="00EE38BD"/>
    <w:rsid w:val="00EF4E71"/>
    <w:rsid w:val="00F01570"/>
    <w:rsid w:val="00F11E7D"/>
    <w:rsid w:val="00F46854"/>
    <w:rsid w:val="00F541D1"/>
    <w:rsid w:val="00F61DFA"/>
    <w:rsid w:val="00FB0BB7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753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7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маркер (КС)"/>
    <w:rsid w:val="00E7539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 (КС)"/>
    <w:basedOn w:val="3"/>
    <w:next w:val="a0"/>
    <w:rsid w:val="00E75399"/>
    <w:pPr>
      <w:keepLines w:val="0"/>
      <w:tabs>
        <w:tab w:val="num" w:pos="1797"/>
      </w:tabs>
      <w:spacing w:before="240" w:after="60"/>
      <w:ind w:left="1797" w:hanging="432"/>
    </w:pPr>
    <w:rPr>
      <w:rFonts w:ascii="Arial" w:eastAsia="Times New Roman" w:hAnsi="Arial" w:cs="Arial"/>
      <w:color w:val="auto"/>
      <w:sz w:val="26"/>
      <w:szCs w:val="26"/>
    </w:rPr>
  </w:style>
  <w:style w:type="paragraph" w:styleId="a5">
    <w:name w:val="caption"/>
    <w:basedOn w:val="a0"/>
    <w:next w:val="a0"/>
    <w:link w:val="a6"/>
    <w:uiPriority w:val="35"/>
    <w:qFormat/>
    <w:rsid w:val="00E75399"/>
    <w:pPr>
      <w:spacing w:before="120" w:after="120"/>
      <w:jc w:val="center"/>
    </w:pPr>
    <w:rPr>
      <w:b/>
      <w:bCs/>
      <w:sz w:val="20"/>
      <w:szCs w:val="20"/>
    </w:rPr>
  </w:style>
  <w:style w:type="paragraph" w:styleId="a7">
    <w:name w:val="List Paragraph"/>
    <w:basedOn w:val="a0"/>
    <w:uiPriority w:val="34"/>
    <w:qFormat/>
    <w:rsid w:val="00E75399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a6">
    <w:name w:val="Название объекта Знак"/>
    <w:basedOn w:val="a1"/>
    <w:link w:val="a5"/>
    <w:uiPriority w:val="35"/>
    <w:rsid w:val="00E753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753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75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753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753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7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маркер (КС)"/>
    <w:rsid w:val="00E7539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 (КС)"/>
    <w:basedOn w:val="3"/>
    <w:next w:val="a0"/>
    <w:rsid w:val="00E75399"/>
    <w:pPr>
      <w:keepLines w:val="0"/>
      <w:tabs>
        <w:tab w:val="num" w:pos="1797"/>
      </w:tabs>
      <w:spacing w:before="240" w:after="60"/>
      <w:ind w:left="1797" w:hanging="432"/>
    </w:pPr>
    <w:rPr>
      <w:rFonts w:ascii="Arial" w:eastAsia="Times New Roman" w:hAnsi="Arial" w:cs="Arial"/>
      <w:color w:val="auto"/>
      <w:sz w:val="26"/>
      <w:szCs w:val="26"/>
    </w:rPr>
  </w:style>
  <w:style w:type="paragraph" w:styleId="a5">
    <w:name w:val="caption"/>
    <w:basedOn w:val="a0"/>
    <w:next w:val="a0"/>
    <w:link w:val="a6"/>
    <w:uiPriority w:val="35"/>
    <w:qFormat/>
    <w:rsid w:val="00E75399"/>
    <w:pPr>
      <w:spacing w:before="120" w:after="120"/>
      <w:jc w:val="center"/>
    </w:pPr>
    <w:rPr>
      <w:b/>
      <w:bCs/>
      <w:sz w:val="20"/>
      <w:szCs w:val="20"/>
    </w:rPr>
  </w:style>
  <w:style w:type="paragraph" w:styleId="a7">
    <w:name w:val="List Paragraph"/>
    <w:basedOn w:val="a0"/>
    <w:uiPriority w:val="34"/>
    <w:qFormat/>
    <w:rsid w:val="00E75399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a6">
    <w:name w:val="Название объекта Знак"/>
    <w:basedOn w:val="a1"/>
    <w:link w:val="a5"/>
    <w:uiPriority w:val="35"/>
    <w:rsid w:val="00E753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753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75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75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2018-03-12T12:49:00Z</cp:lastPrinted>
  <dcterms:created xsi:type="dcterms:W3CDTF">2018-03-07T09:10:00Z</dcterms:created>
  <dcterms:modified xsi:type="dcterms:W3CDTF">2018-03-13T09:04:00Z</dcterms:modified>
</cp:coreProperties>
</file>